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7bbd637fe72495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25992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DUBRAVA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1.663.625,88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1.697.907,83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1.138.788,67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1.379.385,52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524.837,21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318.522,31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69.346,19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811.302,96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2.472.026,08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810.667,53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2.402.679,89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612.622,66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2.215.817,94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1.728,54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1.469,43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610.894,12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2.214.348,51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362,5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325.063,80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130.190,93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40,1</w:t>
            </w:r>
          </w:p>
        </w:tc>
      </w:tr>
    </w:tbl>
    <w:p>
      <w:pPr>
        <w:spacing w:before="0" w:after="0"/>
      </w:pPr>
    </w:p>
    <w:p>
      <w:pPr>
        <w:jc w:val="both"/>
        <w:pStyle w:val="Normal"/>
        <w:spacing w:line="240" w:lineRule="auto"/>
      </w:pPr>
      <w:r>
        <w:rPr>
          <w:sz w:val="24"/>
          <w:rFonts w:ascii="Times New Roman" w:hAnsi="Times New Roman"/>
        </w:rPr>
        <w:t>Višak poslovanja konsolidiranog proračuna iznosi 130.190,93 eura, a odnosi se na manjak prihoda u iznosu od 11.798,12 eura, dok višak prihoda poslovanja u iznosu 157.026.78 eura se odnosi na proračun Općine Dubrava.
Manjak proračunskog korisnika Dječji vrtić Dubrava se odnosi na radionice engleskog jezika za pedagošku godinu 2024/2025. Sredstva su zaprimljena u 2024. godini a realizacija se odvijala kroz dio 2025 godine
Sredstva proračuna trošena su racionalno, uz odgovorno upravljanje rashodima i aktivnu politiku naplate prihoda. Osim redovnog praćenja i naplate prihoda, provodile su se i kontinuirane prijave na natječaje koje raspisuju nadležna ministarstva, županijska tijela i ostali javni izvori financiranja. Takvim pristupom ostvaren je višak prihoda u promatranom razdoblju.</w:t>
      </w:r>
    </w:p>
    <w:p>
      <w:r>
        <w:br/>
      </w:r>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50.103,36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dospjelih obveza iznosi 50.103,36 eura. Na obveze općine Dubrava odnosi se 48.146,85 eura dok se 1.956,51 odnosi na obveze Dječjeg vrtića Dubrava. 
 Razlog stanja dospjelih obveza je što je dio obveza evidentiran nakon završetka izvještajnog razdoblja, iako se sadržajno odnosi na to razdoblje. Također unutar ukupno dospjelih obveza  nalaze se i sredstva koja će se kompenzirati najmoprimcima temeljem njihovih ulaganja u imovinu u vlasništvu JLS kroz umanjenje budućih mjesečnih najamnina</w:t>
      </w:r>
    </w:p>
    <w:p/>
    <w:p>
      <w:pPr>
        <w:jc w:val="center"/>
        <w:pStyle w:val="Normal"/>
        <w:spacing w:line="240" w:lineRule="auto"/>
        <w:keepNext/>
      </w:pPr>
      <w:r>
        <w:rPr>
          <w:sz w:val="28"/>
          <w:rFonts w:ascii="Times New Roman" w:hAnsi="Times New Roman"/>
        </w:rPr>
        <w:t>Bilješka 3.</w:t>
      </w:r>
    </w:p>
    <w:p>
      <w:pPr>
        <w:jc w:val="both"/>
        <w:pStyle w:val="Normal"/>
        <w:spacing w:line="240" w:lineRule="auto"/>
      </w:pPr>
      <w:r>
        <w:rPr>
          <w:b/>
          <w:sz w:val="24"/>
          <w:rFonts w:ascii="Times New Roman" w:hAnsi="Times New Roman"/>
        </w:rPr>
        <w:t>Unutargrupne transakcije koje su u izvještajima eliminirane</w:t>
      </w:r>
    </w:p>
    <w:p>
      <w:pPr>
        <w:jc w:val="both"/>
        <w:pStyle w:val="Normal"/>
        <w:spacing w:line="240" w:lineRule="auto"/>
      </w:pPr>
      <w:r>
        <w:rPr>
          <w:sz w:val="24"/>
          <w:rFonts w:ascii="Times New Roman" w:hAnsi="Times New Roman"/>
        </w:rPr>
        <w:t>Prijenos sredstava iz nadležnog proračuna za financiranje redovne djelatnosti proračunskog korisnika, Dječji vrtić Dubrava iznosi 180.021,22 EUR i sastoji se od:
-	Plaće za zaposlene 105.985,32 EUR
-	Nagrade 17.600,00 EUR
-	Ostali rashodi za zaposlene 10.150,00 EUR
-	Doprinosi na plaće 17.041,36 EUR
-	Naknade za prijevoz s posla i na posao 66,36 EUR
-	Zakupnine i najamnine za građevinske objekte 1.800,00 EUR
-	Intelektualne usluge 1.777,06 EUR
-	Prehrana 25.601,12  EUR
</w:t>
      </w:r>
    </w:p>
    <w:p/>
    <w:p>
      <w:pPr>
        <w:jc w:val="center"/>
        <w:pStyle w:val="Normal"/>
        <w:spacing w:line="240" w:lineRule="auto"/>
        <w:keepNext/>
      </w:pPr>
      <w:r>
        <w:rPr>
          <w:sz w:val="28"/>
          <w:rFonts w:ascii="Times New Roman" w:hAnsi="Times New Roman"/>
        </w:rPr>
        <w:t>Bilješka 4.</w:t>
      </w:r>
    </w:p>
    <w:p>
      <w:pPr>
        <w:jc w:val="both"/>
        <w:pStyle w:val="Normal"/>
        <w:spacing w:line="240" w:lineRule="auto"/>
      </w:pPr>
      <w:r>
        <w:rPr>
          <w:b/>
          <w:sz w:val="24"/>
          <w:rFonts w:ascii="Times New Roman" w:hAnsi="Times New Roman"/>
        </w:rPr>
        <w:t>Manjak ili višak u poslovanju grupe i pregled strukture manjka/viška po proračunskim korisnicima </w:t>
      </w:r>
    </w:p>
    <w:p>
      <w:pPr>
        <w:jc w:val="both"/>
        <w:pStyle w:val="Normal"/>
        <w:spacing w:line="240" w:lineRule="auto"/>
      </w:pPr>
      <w:r>
        <w:rPr>
          <w:sz w:val="24"/>
          <w:rFonts w:ascii="Times New Roman" w:hAnsi="Times New Roman"/>
        </w:rPr>
        <w:t>Višak poslovanja konsolidiranog proračuna iznosi 130.190,93 eura, a odnosi se na manjak prihoda u iznosu od 11.798,12 eura, dok višak prihoda poslovanja u iznosu 157.026.78 eura se odnosi na proračun Općine Dubrava.
Manjak proračunskog korisnika Dječji vrtić Dubrava se odnosi na radionice engleskog jezika za pedagošku godinu 2024/2025. Sredstva su zaprimljena u 2024. godini a realizacija se odvijala kroz dio 2025 godine
Sredstva proračuna trošena su racionalno, uz odgovorno upravljanje rashodima i aktivnu politiku naplate prihoda. Osim redovnog praćenja i naplate prihoda, provodile su se i kontinuirane prijave na natječaje koje raspisuju nadležna ministarstva, županijska tijela i ostali javni izvori financiranja. Takvim pristupom ostvaren je višak prihoda u promatranom razdoblju.</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721154e6bef74d35" /></Relationships>
</file>